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224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57F47" w:rsidTr="00D83EF3" w14:paraId="2BF5C949" w14:textId="77777777">
        <w:tc>
          <w:tcPr>
            <w:tcW w:w="3116" w:type="dxa"/>
          </w:tcPr>
          <w:p w:rsidR="00D57F47" w:rsidP="00D83EF3" w:rsidRDefault="00D83EF3" w14:paraId="41F8C395" w14:textId="70037D5C">
            <w:r>
              <w:t>EVAR-1</w:t>
            </w:r>
          </w:p>
        </w:tc>
        <w:tc>
          <w:tcPr>
            <w:tcW w:w="3117" w:type="dxa"/>
          </w:tcPr>
          <w:p w:rsidR="00D57F47" w:rsidP="00D83EF3" w:rsidRDefault="00C9481B" w14:paraId="7F7415AC" w14:textId="5E5F53F3">
            <w:r>
              <w:t>Lancet 2016</w:t>
            </w:r>
          </w:p>
        </w:tc>
        <w:tc>
          <w:tcPr>
            <w:tcW w:w="3117" w:type="dxa"/>
          </w:tcPr>
          <w:p w:rsidR="00A87684" w:rsidP="00D83EF3" w:rsidRDefault="00A87684" w14:paraId="237072EE" w14:textId="36716B93">
            <w:r>
              <w:t>489 Citations</w:t>
            </w:r>
          </w:p>
        </w:tc>
      </w:tr>
    </w:tbl>
    <w:p w:rsidR="00D57F47" w:rsidRDefault="00D57F47" w14:paraId="0F37D189" w14:textId="4D03E71F"/>
    <w:p w:rsidR="00146509" w:rsidRDefault="00146509" w14:paraId="29C6775D" w14:textId="3F6A6282">
      <w:proofErr w:type="spellStart"/>
      <w:r>
        <w:t>RoB</w:t>
      </w:r>
      <w:proofErr w:type="spellEnd"/>
      <w:r>
        <w:t xml:space="preserve"> 2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8259A" w:rsidTr="00B8259A" w14:paraId="7ECC2371" w14:textId="77777777">
        <w:tc>
          <w:tcPr>
            <w:tcW w:w="935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763"/>
              <w:gridCol w:w="4361"/>
            </w:tblGrid>
            <w:tr w:rsidRPr="00B8259A" w:rsidR="00D93C7E" w:rsidTr="00532B35" w14:paraId="437BE0AA" w14:textId="57121EAD">
              <w:trPr>
                <w:trHeight w:val="301"/>
              </w:trPr>
              <w:tc>
                <w:tcPr>
                  <w:tcW w:w="4763" w:type="dxa"/>
                  <w:shd w:val="clear" w:color="auto" w:fill="92D050"/>
                </w:tcPr>
                <w:p w:rsidRPr="00B8259A" w:rsidR="00D93C7E" w:rsidP="00693434" w:rsidRDefault="00D93C7E" w14:paraId="72BCC3F4" w14:textId="77777777">
                  <w:r w:rsidRPr="00B8259A">
                    <w:t>Randomisation Process</w:t>
                  </w:r>
                </w:p>
                <w:p w:rsidRPr="00B8259A" w:rsidR="00D93C7E" w:rsidP="00693434" w:rsidRDefault="00D93C7E" w14:paraId="4EB65230" w14:textId="77777777"/>
              </w:tc>
              <w:tc>
                <w:tcPr>
                  <w:tcW w:w="4361" w:type="dxa"/>
                  <w:vMerge w:val="restart"/>
                  <w:shd w:val="clear" w:color="auto" w:fill="FF0000"/>
                </w:tcPr>
                <w:p w:rsidR="00D93C7E" w:rsidP="00693434" w:rsidRDefault="00D93C7E" w14:paraId="5AC441D3" w14:textId="77777777"/>
                <w:p w:rsidR="00532B35" w:rsidP="00693434" w:rsidRDefault="00532B35" w14:paraId="3EC32B10" w14:textId="77777777"/>
                <w:p w:rsidR="00532B35" w:rsidP="00693434" w:rsidRDefault="00532B35" w14:paraId="23CC57F3" w14:textId="77777777"/>
                <w:p w:rsidR="00532B35" w:rsidP="00693434" w:rsidRDefault="00532B35" w14:paraId="287604B7" w14:textId="77777777"/>
                <w:p w:rsidRPr="00B8259A" w:rsidR="00532B35" w:rsidP="00693434" w:rsidRDefault="00532B35" w14:paraId="6D2FC9D5" w14:textId="0B5652C7">
                  <w:r>
                    <w:t>HIGH RISK IN AT LEAST ONE DOMAIN</w:t>
                  </w:r>
                </w:p>
              </w:tc>
            </w:tr>
            <w:tr w:rsidRPr="00B8259A" w:rsidR="00D93C7E" w:rsidTr="00D93C7E" w14:paraId="3B4C4C00" w14:textId="4F0DD9C9">
              <w:trPr>
                <w:trHeight w:val="603"/>
              </w:trPr>
              <w:tc>
                <w:tcPr>
                  <w:tcW w:w="4763" w:type="dxa"/>
                  <w:shd w:val="clear" w:color="auto" w:fill="FF0000"/>
                </w:tcPr>
                <w:p w:rsidRPr="00B8259A" w:rsidR="00D93C7E" w:rsidP="00693434" w:rsidRDefault="00D93C7E" w14:paraId="0266C2D0" w14:textId="77777777">
                  <w:r w:rsidRPr="00B8259A">
                    <w:t>Deviations from Intended Intervention</w:t>
                  </w:r>
                </w:p>
              </w:tc>
              <w:tc>
                <w:tcPr>
                  <w:tcW w:w="4361" w:type="dxa"/>
                  <w:vMerge/>
                  <w:shd w:val="clear" w:color="auto" w:fill="FF0000"/>
                </w:tcPr>
                <w:p w:rsidRPr="00B8259A" w:rsidR="00D93C7E" w:rsidP="00693434" w:rsidRDefault="00D93C7E" w14:paraId="6168C6D0" w14:textId="77777777"/>
              </w:tc>
            </w:tr>
            <w:tr w:rsidRPr="00B8259A" w:rsidR="00D93C7E" w:rsidTr="00532B35" w14:paraId="450CBDF6" w14:textId="645BADD6">
              <w:trPr>
                <w:trHeight w:val="309"/>
              </w:trPr>
              <w:tc>
                <w:tcPr>
                  <w:tcW w:w="4763" w:type="dxa"/>
                  <w:shd w:val="clear" w:color="auto" w:fill="92D050"/>
                </w:tcPr>
                <w:p w:rsidRPr="00B8259A" w:rsidR="00D93C7E" w:rsidP="00693434" w:rsidRDefault="00D93C7E" w14:paraId="790C7CCE" w14:textId="40783AC6">
                  <w:r w:rsidRPr="00B8259A">
                    <w:t>Missing Outcome Data</w:t>
                  </w:r>
                </w:p>
                <w:p w:rsidRPr="00B8259A" w:rsidR="00D93C7E" w:rsidP="00693434" w:rsidRDefault="00D93C7E" w14:paraId="6F1CF5C0" w14:textId="77777777"/>
              </w:tc>
              <w:tc>
                <w:tcPr>
                  <w:tcW w:w="4361" w:type="dxa"/>
                  <w:vMerge/>
                  <w:shd w:val="clear" w:color="auto" w:fill="FF0000"/>
                </w:tcPr>
                <w:p w:rsidRPr="00B8259A" w:rsidR="00D93C7E" w:rsidP="00693434" w:rsidRDefault="00D93C7E" w14:paraId="2C28CEA0" w14:textId="77777777"/>
              </w:tc>
            </w:tr>
            <w:tr w:rsidRPr="00B8259A" w:rsidR="00D93C7E" w:rsidTr="00532B35" w14:paraId="70D7AF6F" w14:textId="494E75AE">
              <w:trPr>
                <w:trHeight w:val="309"/>
              </w:trPr>
              <w:tc>
                <w:tcPr>
                  <w:tcW w:w="4763" w:type="dxa"/>
                  <w:shd w:val="clear" w:color="auto" w:fill="92D050"/>
                </w:tcPr>
                <w:p w:rsidR="00D93C7E" w:rsidP="00693434" w:rsidRDefault="00D93C7E" w14:paraId="30BBEB58" w14:textId="77777777">
                  <w:r>
                    <w:t>Outcome Measurement</w:t>
                  </w:r>
                </w:p>
                <w:p w:rsidRPr="00B8259A" w:rsidR="00D93C7E" w:rsidP="00693434" w:rsidRDefault="00D93C7E" w14:paraId="443643E6" w14:textId="5042E0EE"/>
              </w:tc>
              <w:tc>
                <w:tcPr>
                  <w:tcW w:w="4361" w:type="dxa"/>
                  <w:vMerge/>
                  <w:shd w:val="clear" w:color="auto" w:fill="FF0000"/>
                </w:tcPr>
                <w:p w:rsidR="00D93C7E" w:rsidP="00693434" w:rsidRDefault="00D93C7E" w14:paraId="62057AC9" w14:textId="77777777"/>
              </w:tc>
            </w:tr>
            <w:tr w:rsidRPr="00B8259A" w:rsidR="00D93C7E" w:rsidTr="00532B35" w14:paraId="05C329A6" w14:textId="7FA6CC52">
              <w:trPr>
                <w:trHeight w:val="309"/>
              </w:trPr>
              <w:tc>
                <w:tcPr>
                  <w:tcW w:w="4763" w:type="dxa"/>
                  <w:shd w:val="clear" w:color="auto" w:fill="92D050"/>
                </w:tcPr>
                <w:p w:rsidR="00D93C7E" w:rsidP="00693434" w:rsidRDefault="00D93C7E" w14:paraId="1F656FEA" w14:textId="77777777">
                  <w:r>
                    <w:t>Selection of Reported Result</w:t>
                  </w:r>
                </w:p>
                <w:p w:rsidR="00D93C7E" w:rsidP="00693434" w:rsidRDefault="00D93C7E" w14:paraId="581DAEAE" w14:textId="6EB135AF"/>
              </w:tc>
              <w:tc>
                <w:tcPr>
                  <w:tcW w:w="4361" w:type="dxa"/>
                  <w:vMerge/>
                  <w:shd w:val="clear" w:color="auto" w:fill="FF0000"/>
                </w:tcPr>
                <w:p w:rsidR="00D93C7E" w:rsidP="00693434" w:rsidRDefault="00D93C7E" w14:paraId="3CF9670A" w14:textId="77777777"/>
              </w:tc>
            </w:tr>
          </w:tbl>
          <w:p w:rsidR="00B8259A" w:rsidRDefault="00B8259A" w14:paraId="14E05FE9" w14:textId="77777777"/>
        </w:tc>
      </w:tr>
    </w:tbl>
    <w:p w:rsidR="00146509" w:rsidRDefault="00146509" w14:paraId="6F51EE3D" w14:textId="77777777"/>
    <w:p w:rsidR="00A87684" w:rsidRDefault="00965208" w14:paraId="740E7DE0" w14:textId="34931887">
      <w:r>
        <w:t>Summary</w:t>
      </w:r>
    </w:p>
    <w:p w:rsidR="00965208" w:rsidRDefault="00573DF5" w14:paraId="0A20C565" w14:textId="21D3B5EA">
      <w:r>
        <w:t xml:space="preserve">EVAR </w:t>
      </w:r>
      <w:r w:rsidR="00C914AF">
        <w:t>shows</w:t>
      </w:r>
      <w:r>
        <w:t xml:space="preserve"> early survival benefits compared to open repair of AAA</w:t>
      </w:r>
    </w:p>
    <w:p w:rsidR="00CA267F" w:rsidRDefault="00CA267F" w14:paraId="51F684CF" w14:textId="73623510">
      <w:r>
        <w:t>Aimed to assess lo</w:t>
      </w:r>
      <w:r w:rsidR="00B9126D">
        <w:t>ng</w:t>
      </w:r>
      <w:r>
        <w:t>- term survival benefit</w:t>
      </w:r>
    </w:p>
    <w:p w:rsidR="00B9126D" w:rsidRDefault="004A335B" w14:paraId="199AAD50" w14:textId="616C6C45">
      <w:r>
        <w:t>12 year follow up</w:t>
      </w:r>
    </w:p>
    <w:p w:rsidR="00885E99" w:rsidRDefault="00885E99" w14:paraId="17827DEB" w14:textId="530DD683">
      <w:r>
        <w:t>Intention to treat analysis</w:t>
      </w:r>
    </w:p>
    <w:p w:rsidR="004A335B" w:rsidRDefault="006E71CE" w14:paraId="448BD74F" w14:textId="1C743159">
      <w:r>
        <w:t xml:space="preserve">Overall similar mortality rates </w:t>
      </w:r>
      <w:r w:rsidR="00E1355C">
        <w:t>(</w:t>
      </w:r>
      <w:r w:rsidR="00EF4F1D">
        <w:t>EVAR 9.3 per 100 person years; Open 8.9</w:t>
      </w:r>
      <w:r w:rsidR="00876A78">
        <w:t>; p= 0.14)</w:t>
      </w:r>
    </w:p>
    <w:p w:rsidR="00876A78" w:rsidRDefault="003F6E5E" w14:paraId="3095DA41" w14:textId="438F50AD">
      <w:r>
        <w:t>At 0 to 6 months EVAR had significantly lower mortality</w:t>
      </w:r>
      <w:r w:rsidR="00F10870">
        <w:t xml:space="preserve"> (total and aneurysm-related)</w:t>
      </w:r>
    </w:p>
    <w:p w:rsidR="00F10870" w:rsidRDefault="00467AD2" w14:paraId="6C16D4E3" w14:textId="71CF32E3">
      <w:r>
        <w:t>Beyond 8 years Open had significantly lower mortality (total and aneurysm-related)</w:t>
      </w:r>
    </w:p>
    <w:p w:rsidR="00A42865" w:rsidRDefault="00A42865" w14:paraId="34E03111" w14:textId="2D6C331C">
      <w:r>
        <w:t>Higher late rupture rate with EVAR</w:t>
      </w:r>
    </w:p>
    <w:p w:rsidR="00A42865" w:rsidRDefault="00596179" w14:paraId="2AF17724" w14:textId="62A58AA3">
      <w:r>
        <w:t xml:space="preserve">Strengths </w:t>
      </w:r>
      <w:r w:rsidR="00CD3519">
        <w:t>&amp; Weaknesses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</w:tblGrid>
      <w:tr w:rsidR="00CD3519" w:rsidTr="6500540C" w14:paraId="32982807" w14:textId="77777777">
        <w:tc>
          <w:tcPr>
            <w:tcW w:w="3116" w:type="dxa"/>
            <w:tcMar/>
          </w:tcPr>
          <w:p w:rsidR="00CD3519" w:rsidRDefault="00CD3519" w14:paraId="2174F36F" w14:textId="103857F4">
            <w:r w:rsidR="6500540C">
              <w:rPr/>
              <w:t>Used Central Statistics office records to determine patient status</w:t>
            </w:r>
          </w:p>
        </w:tc>
        <w:tc>
          <w:tcPr>
            <w:tcW w:w="3117" w:type="dxa"/>
            <w:tcMar/>
          </w:tcPr>
          <w:p w:rsidR="00CD3519" w:rsidRDefault="00CD3519" w14:paraId="1EABA9B1" w14:textId="03C43645">
            <w:r w:rsidR="6500540C">
              <w:rPr/>
              <w:t>UK centres only so results may not transfer to other healthcare settings</w:t>
            </w:r>
          </w:p>
        </w:tc>
      </w:tr>
      <w:tr w:rsidR="00CD3519" w:rsidTr="6500540C" w14:paraId="1E6E02D6" w14:textId="77777777">
        <w:tc>
          <w:tcPr>
            <w:tcW w:w="3116" w:type="dxa"/>
            <w:tcMar/>
          </w:tcPr>
          <w:p w:rsidR="00CD3519" w:rsidRDefault="00CD3519" w14:paraId="1244567C" w14:textId="50DC31DB">
            <w:r w:rsidR="6500540C">
              <w:rPr/>
              <w:t>Asked participating centres to review records for outcomes beyond original trial timeframe</w:t>
            </w:r>
          </w:p>
        </w:tc>
        <w:tc>
          <w:tcPr>
            <w:tcW w:w="3117" w:type="dxa"/>
            <w:tcMar/>
          </w:tcPr>
          <w:p w:rsidR="00CD3519" w:rsidRDefault="00CD3519" w14:paraId="62B68087" w14:textId="271929F7">
            <w:r w:rsidR="6500540C">
              <w:rPr/>
              <w:t>Older stent grafts used although no apparent technological effect observed in course of follow-up</w:t>
            </w:r>
          </w:p>
        </w:tc>
      </w:tr>
      <w:tr w:rsidR="00CD3519" w:rsidTr="6500540C" w14:paraId="5217DED8" w14:textId="77777777">
        <w:tc>
          <w:tcPr>
            <w:tcW w:w="3116" w:type="dxa"/>
            <w:tcMar/>
          </w:tcPr>
          <w:p w:rsidR="00CD3519" w:rsidRDefault="00CD3519" w14:paraId="7D6F7BFE" w14:textId="51059A35">
            <w:r w:rsidR="6500540C">
              <w:rPr/>
              <w:t>Used an outcome adjudication committee</w:t>
            </w:r>
          </w:p>
        </w:tc>
        <w:tc>
          <w:tcPr>
            <w:tcW w:w="3117" w:type="dxa"/>
            <w:tcMar/>
          </w:tcPr>
          <w:p w:rsidR="00CD3519" w:rsidRDefault="00CD3519" w14:paraId="38F4BE94" w14:textId="77777777"/>
        </w:tc>
      </w:tr>
    </w:tbl>
    <w:p w:rsidR="00CD3519" w:rsidRDefault="00CD3519" w14:paraId="03C482E8" w14:textId="77777777"/>
    <w:p w:rsidR="00573DF5" w:rsidRDefault="00573DF5" w14:paraId="621CDC1B" w14:textId="77777777"/>
    <w:sectPr w:rsidR="00573DF5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5CCD" w:rsidP="00BF5CCD" w:rsidRDefault="00BF5CCD" w14:paraId="6468AAB6" w14:textId="77777777">
      <w:pPr>
        <w:spacing w:after="0" w:line="240" w:lineRule="auto"/>
      </w:pPr>
      <w:r>
        <w:separator/>
      </w:r>
    </w:p>
  </w:endnote>
  <w:endnote w:type="continuationSeparator" w:id="0">
    <w:p w:rsidR="00BF5CCD" w:rsidP="00BF5CCD" w:rsidRDefault="00BF5CCD" w14:paraId="2A24999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5CCD" w:rsidP="00BF5CCD" w:rsidRDefault="00BF5CCD" w14:paraId="571A1A5B" w14:textId="77777777">
      <w:pPr>
        <w:spacing w:after="0" w:line="240" w:lineRule="auto"/>
      </w:pPr>
      <w:r>
        <w:separator/>
      </w:r>
    </w:p>
  </w:footnote>
  <w:footnote w:type="continuationSeparator" w:id="0">
    <w:p w:rsidR="00BF5CCD" w:rsidP="00BF5CCD" w:rsidRDefault="00BF5CCD" w14:paraId="62AFA8F3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F47"/>
    <w:rsid w:val="000F47B1"/>
    <w:rsid w:val="00146509"/>
    <w:rsid w:val="0021049E"/>
    <w:rsid w:val="003F6E5E"/>
    <w:rsid w:val="00467AD2"/>
    <w:rsid w:val="004A2165"/>
    <w:rsid w:val="004A335B"/>
    <w:rsid w:val="00532B35"/>
    <w:rsid w:val="00573DF5"/>
    <w:rsid w:val="00596179"/>
    <w:rsid w:val="006B2F29"/>
    <w:rsid w:val="006E71CE"/>
    <w:rsid w:val="00763725"/>
    <w:rsid w:val="00876A78"/>
    <w:rsid w:val="00877EEE"/>
    <w:rsid w:val="00881A2C"/>
    <w:rsid w:val="00885E99"/>
    <w:rsid w:val="00965208"/>
    <w:rsid w:val="009E7735"/>
    <w:rsid w:val="009F0A01"/>
    <w:rsid w:val="00A42865"/>
    <w:rsid w:val="00A87684"/>
    <w:rsid w:val="00A972D0"/>
    <w:rsid w:val="00B8259A"/>
    <w:rsid w:val="00B9126D"/>
    <w:rsid w:val="00BF5CCD"/>
    <w:rsid w:val="00C914AF"/>
    <w:rsid w:val="00C9481B"/>
    <w:rsid w:val="00CA267F"/>
    <w:rsid w:val="00CC1E8E"/>
    <w:rsid w:val="00CD3519"/>
    <w:rsid w:val="00D57F47"/>
    <w:rsid w:val="00D83EF3"/>
    <w:rsid w:val="00D93C7E"/>
    <w:rsid w:val="00E1355C"/>
    <w:rsid w:val="00E2234C"/>
    <w:rsid w:val="00EF4F1D"/>
    <w:rsid w:val="00F10870"/>
    <w:rsid w:val="00F55318"/>
    <w:rsid w:val="00F91549"/>
    <w:rsid w:val="6500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BD3E6D"/>
  <w15:chartTrackingRefBased/>
  <w15:docId w15:val="{3544FE05-006B-914B-9D53-4AB8B0F49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7F4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BF5CC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F5CCD"/>
  </w:style>
  <w:style w:type="paragraph" w:styleId="Footer">
    <w:name w:val="footer"/>
    <w:basedOn w:val="Normal"/>
    <w:link w:val="FooterChar"/>
    <w:uiPriority w:val="99"/>
    <w:unhideWhenUsed/>
    <w:rsid w:val="00BF5CC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F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Stewart Walsh</dc:creator>
  <keywords/>
  <dc:description/>
  <lastModifiedBy>Stewart Walsh</lastModifiedBy>
  <revision>3</revision>
  <dcterms:created xsi:type="dcterms:W3CDTF">2022-03-15T12:28:00.0000000Z</dcterms:created>
  <dcterms:modified xsi:type="dcterms:W3CDTF">2022-03-29T10:17:07.0986109Z</dcterms:modified>
</coreProperties>
</file>